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4" w:rsidRPr="00A437D4" w:rsidRDefault="00A437D4" w:rsidP="00A437D4">
      <w:pPr>
        <w:spacing w:line="460" w:lineRule="exact"/>
        <w:jc w:val="center"/>
        <w:rPr>
          <w:rFonts w:ascii="Times New Roman" w:eastAsia="標楷體" w:hAnsi="Times New Roman"/>
          <w:b/>
          <w:sz w:val="32"/>
        </w:rPr>
      </w:pPr>
      <w:r w:rsidRPr="00A437D4">
        <w:rPr>
          <w:rFonts w:ascii="Times New Roman" w:eastAsia="標楷體" w:hAnsi="Times New Roman" w:hint="eastAsia"/>
          <w:b/>
          <w:sz w:val="32"/>
        </w:rPr>
        <w:t>2019</w:t>
      </w:r>
      <w:r w:rsidRPr="00A437D4">
        <w:rPr>
          <w:rFonts w:ascii="Times New Roman" w:eastAsia="標楷體" w:hAnsi="Times New Roman" w:hint="eastAsia"/>
          <w:b/>
          <w:sz w:val="32"/>
        </w:rPr>
        <w:t>年新北市美力活動行事曆</w:t>
      </w:r>
    </w:p>
    <w:tbl>
      <w:tblPr>
        <w:tblW w:w="5509" w:type="pct"/>
        <w:tblInd w:w="-6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6"/>
      </w:tblGrid>
      <w:tr w:rsidR="00A437D4" w:rsidRPr="0002082C" w:rsidTr="00323EC4">
        <w:trPr>
          <w:trHeight w:val="13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TableNormal"/>
              <w:tblW w:w="15485" w:type="dxa"/>
              <w:tblInd w:w="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ED7E7"/>
              <w:tblLook w:val="04A0" w:firstRow="1" w:lastRow="0" w:firstColumn="1" w:lastColumn="0" w:noHBand="0" w:noVBand="1"/>
            </w:tblPr>
            <w:tblGrid>
              <w:gridCol w:w="973"/>
              <w:gridCol w:w="2436"/>
              <w:gridCol w:w="2437"/>
              <w:gridCol w:w="1134"/>
              <w:gridCol w:w="2268"/>
              <w:gridCol w:w="3118"/>
              <w:gridCol w:w="3119"/>
            </w:tblGrid>
            <w:tr w:rsidR="00A437D4" w:rsidRPr="0002082C" w:rsidTr="00A437D4">
              <w:trPr>
                <w:trHeight w:val="258"/>
              </w:trPr>
              <w:tc>
                <w:tcPr>
                  <w:tcW w:w="973" w:type="dxa"/>
                  <w:shd w:val="clear" w:color="auto" w:fill="F2F2F2" w:themeFill="background1" w:themeFillShade="F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lang w:val="zh-TW"/>
                    </w:rPr>
                    <w:t>星期一</w:t>
                  </w:r>
                </w:p>
              </w:tc>
              <w:tc>
                <w:tcPr>
                  <w:tcW w:w="2436" w:type="dxa"/>
                  <w:shd w:val="clear" w:color="auto" w:fill="F2F2F2" w:themeFill="background1" w:themeFillShade="F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lang w:val="zh-TW"/>
                    </w:rPr>
                    <w:t>星期二</w:t>
                  </w:r>
                </w:p>
              </w:tc>
              <w:tc>
                <w:tcPr>
                  <w:tcW w:w="2437" w:type="dxa"/>
                  <w:shd w:val="clear" w:color="auto" w:fill="F2F2F2" w:themeFill="background1" w:themeFillShade="F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lang w:val="zh-TW"/>
                    </w:rPr>
                    <w:t>星期三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lang w:val="zh-TW"/>
                    </w:rPr>
                    <w:t>星期四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lang w:val="zh-TW"/>
                    </w:rPr>
                    <w:t>星期五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lang w:val="zh-TW"/>
                    </w:rPr>
                    <w:t>星期六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lang w:val="zh-TW"/>
                    </w:rPr>
                    <w:t>星期日</w:t>
                  </w:r>
                </w:p>
              </w:tc>
            </w:tr>
            <w:tr w:rsidR="00A437D4" w:rsidRPr="0002082C" w:rsidTr="00A437D4">
              <w:trPr>
                <w:trHeight w:val="633"/>
              </w:trPr>
              <w:tc>
                <w:tcPr>
                  <w:tcW w:w="973" w:type="dxa"/>
                  <w:vMerge w:val="restar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5/27</w:t>
                  </w:r>
                </w:p>
              </w:tc>
              <w:tc>
                <w:tcPr>
                  <w:tcW w:w="2436" w:type="dxa"/>
                  <w:vMerge w:val="restar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5/28</w:t>
                  </w:r>
                </w:p>
              </w:tc>
              <w:tc>
                <w:tcPr>
                  <w:tcW w:w="2437" w:type="dxa"/>
                  <w:vMerge w:val="restar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5/29</w:t>
                  </w:r>
                </w:p>
                <w:p w:rsidR="00A437D4" w:rsidRPr="0002082C" w:rsidRDefault="00A437D4" w:rsidP="0022719F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愛美麗</w:t>
                  </w:r>
                  <w:proofErr w:type="gramStart"/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的</w:t>
                  </w:r>
                  <w:r w:rsidR="0022719F">
                    <w:rPr>
                      <w:rFonts w:eastAsia="標楷體" w:cs="標楷體" w:hint="eastAsia"/>
                      <w:sz w:val="24"/>
                      <w:szCs w:val="24"/>
                      <w:lang w:val="zh-TW"/>
                    </w:rPr>
                    <w:t>藝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想世界</w:t>
                  </w:r>
                  <w:proofErr w:type="gramEnd"/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啟動儀式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5/30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5/31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星空音樂會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美力嘉年華</w:t>
                  </w:r>
                </w:p>
              </w:tc>
            </w:tr>
            <w:tr w:rsidR="00A437D4" w:rsidRPr="0002082C" w:rsidTr="00A437D4">
              <w:trPr>
                <w:trHeight w:val="331"/>
              </w:trPr>
              <w:tc>
                <w:tcPr>
                  <w:tcW w:w="973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2436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2437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淡水古蹟博物館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淡水古蹟博物館</w:t>
                  </w:r>
                </w:p>
              </w:tc>
            </w:tr>
            <w:tr w:rsidR="00A437D4" w:rsidRPr="0002082C" w:rsidTr="00A437D4">
              <w:trPr>
                <w:trHeight w:val="1239"/>
              </w:trPr>
              <w:tc>
                <w:tcPr>
                  <w:tcW w:w="973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A437D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6/3</w:t>
                  </w:r>
                </w:p>
              </w:tc>
              <w:tc>
                <w:tcPr>
                  <w:tcW w:w="243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6/4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大師雕塑展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朱銘「科學家」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  <w:lang w:val="zh-TW"/>
                    </w:rPr>
                    <w:t>系列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揭幕暨展出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6/6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6/7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鶯歌陶瓷博物館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6/8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世界宗教博物館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6/9</w:t>
                  </w:r>
                </w:p>
              </w:tc>
            </w:tr>
            <w:tr w:rsidR="00A437D4" w:rsidRPr="0002082C" w:rsidTr="00A437D4">
              <w:trPr>
                <w:trHeight w:val="1283"/>
              </w:trPr>
              <w:tc>
                <w:tcPr>
                  <w:tcW w:w="97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6/10</w:t>
                  </w:r>
                </w:p>
              </w:tc>
              <w:tc>
                <w:tcPr>
                  <w:tcW w:w="2436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6/11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蘆洲李宅</w:t>
                  </w:r>
                </w:p>
              </w:tc>
              <w:tc>
                <w:tcPr>
                  <w:tcW w:w="2437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6/12</w:t>
                  </w:r>
                </w:p>
              </w:tc>
              <w:tc>
                <w:tcPr>
                  <w:tcW w:w="1134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6/13</w:t>
                  </w:r>
                </w:p>
              </w:tc>
              <w:tc>
                <w:tcPr>
                  <w:tcW w:w="2268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6/14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6/15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人文遠雄博物館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</w:rPr>
                    <w:t>、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黃金博物館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</w:rPr>
                    <w:t>、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十三行博物館</w:t>
                  </w:r>
                  <w:bookmarkStart w:id="0" w:name="_GoBack"/>
                  <w:bookmarkEnd w:id="0"/>
                </w:p>
              </w:tc>
              <w:tc>
                <w:tcPr>
                  <w:tcW w:w="3119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6/16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朱銘美術館、李梅樹紀念館</w:t>
                  </w:r>
                </w:p>
              </w:tc>
            </w:tr>
            <w:tr w:rsidR="00A437D4" w:rsidRPr="0002082C" w:rsidTr="00A437D4">
              <w:trPr>
                <w:trHeight w:val="331"/>
              </w:trPr>
              <w:tc>
                <w:tcPr>
                  <w:tcW w:w="973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2436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 w:cs="標楷體"/>
                      <w:szCs w:val="24"/>
                    </w:rPr>
                  </w:pPr>
                </w:p>
              </w:tc>
              <w:tc>
                <w:tcPr>
                  <w:tcW w:w="2437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 w:cs="標楷體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美力體驗課程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大觀藝術教育園區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</w:rPr>
                    <w:t>、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</w:rPr>
                    <w:t>One Piece Museum</w:t>
                  </w:r>
                </w:p>
              </w:tc>
              <w:tc>
                <w:tcPr>
                  <w:tcW w:w="3119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szCs w:val="24"/>
                    </w:rPr>
                  </w:pPr>
                </w:p>
              </w:tc>
            </w:tr>
            <w:tr w:rsidR="00A437D4" w:rsidRPr="0002082C" w:rsidTr="00A437D4">
              <w:trPr>
                <w:trHeight w:val="1125"/>
              </w:trPr>
              <w:tc>
                <w:tcPr>
                  <w:tcW w:w="973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6/17</w:t>
                  </w:r>
                </w:p>
              </w:tc>
              <w:tc>
                <w:tcPr>
                  <w:tcW w:w="243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6/18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6/19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6/20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6/21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6/22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府中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15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</w:rPr>
                    <w:t>、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新板藝廊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6/23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客家文化園區</w:t>
                  </w:r>
                  <w:r>
                    <w:rPr>
                      <w:rFonts w:eastAsia="標楷體" w:cs="標楷體" w:hint="eastAsia"/>
                      <w:sz w:val="24"/>
                      <w:szCs w:val="24"/>
                    </w:rPr>
                    <w:t>、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楊三郎美術館</w:t>
                  </w:r>
                </w:p>
              </w:tc>
            </w:tr>
            <w:tr w:rsidR="00A437D4" w:rsidRPr="0002082C" w:rsidTr="00A437D4">
              <w:trPr>
                <w:trHeight w:val="1249"/>
              </w:trPr>
              <w:tc>
                <w:tcPr>
                  <w:tcW w:w="973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lastRenderedPageBreak/>
                    <w:t>6/24</w:t>
                  </w:r>
                </w:p>
              </w:tc>
              <w:tc>
                <w:tcPr>
                  <w:tcW w:w="243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6/25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坪林茶葉博物館</w:t>
                  </w:r>
                </w:p>
              </w:tc>
              <w:tc>
                <w:tcPr>
                  <w:tcW w:w="2437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6/26</w:t>
                  </w:r>
                </w:p>
                <w:p w:rsidR="00A437D4" w:rsidRPr="0002082C" w:rsidRDefault="00A437D4" w:rsidP="00323EC4">
                  <w:pPr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免費市民日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-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烏來泰雅民族博物館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6/27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6/28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6/29</w:t>
                  </w:r>
                </w:p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b/>
                      <w:bCs/>
                      <w:sz w:val="24"/>
                      <w:szCs w:val="24"/>
                      <w:u w:val="single"/>
                      <w:lang w:val="zh-TW"/>
                    </w:rPr>
                    <w:t>6/30</w:t>
                  </w:r>
                </w:p>
              </w:tc>
            </w:tr>
            <w:tr w:rsidR="00A437D4" w:rsidRPr="0002082C" w:rsidTr="00A437D4">
              <w:trPr>
                <w:trHeight w:val="331"/>
              </w:trPr>
              <w:tc>
                <w:tcPr>
                  <w:tcW w:w="15485" w:type="dxa"/>
                  <w:gridSpan w:val="7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展覽活動</w:t>
                  </w:r>
                </w:p>
                <w:p w:rsidR="00A437D4" w:rsidRPr="0002082C" w:rsidRDefault="00A437D4" w:rsidP="00323EC4">
                  <w:pPr>
                    <w:widowControl/>
                    <w:spacing w:line="460" w:lineRule="exact"/>
                    <w:rPr>
                      <w:rFonts w:eastAsia="標楷體" w:cs="標楷體"/>
                      <w:sz w:val="24"/>
                      <w:szCs w:val="24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一、朱銘科學家系列展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(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新北市市民廣場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)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：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6/4-7/12</w:t>
                  </w:r>
                  <w:r w:rsidRPr="0002082C">
                    <w:rPr>
                      <w:rFonts w:eastAsia="標楷體" w:cs="標楷體"/>
                      <w:szCs w:val="24"/>
                    </w:rPr>
                    <w:t xml:space="preserve"> 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br/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</w:rPr>
                    <w:t>二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、廣達</w:t>
                  </w:r>
                  <w:proofErr w:type="gramStart"/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游於藝巡展</w:t>
                  </w:r>
                  <w:proofErr w:type="gramEnd"/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：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(</w:t>
                  </w:r>
                  <w:proofErr w:type="gramStart"/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一</w:t>
                  </w:r>
                  <w:proofErr w:type="gramEnd"/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)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Niki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的心靈城堡：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  <w:lang w:val="zh-TW"/>
                    </w:rPr>
                    <w:t>5/27-6/14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  <w:lang w:val="zh-TW"/>
                    </w:rPr>
                    <w:t>三芝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國中</w:t>
                  </w:r>
                </w:p>
                <w:p w:rsidR="00A437D4" w:rsidRPr="0002082C" w:rsidRDefault="00A437D4" w:rsidP="00323EC4">
                  <w:pPr>
                    <w:widowControl/>
                    <w:spacing w:line="460" w:lineRule="exact"/>
                    <w:jc w:val="both"/>
                    <w:rPr>
                      <w:rFonts w:eastAsia="標楷體" w:cs="標楷體"/>
                      <w:b/>
                      <w:bCs/>
                      <w:szCs w:val="24"/>
                      <w:u w:val="single"/>
                      <w:lang w:val="zh-TW"/>
                    </w:rPr>
                  </w:pP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 xml:space="preserve">                    (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二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</w:rPr>
                    <w:t>)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光影巴洛克：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  <w:lang w:val="zh-TW"/>
                    </w:rPr>
                    <w:t>5/27-6/14</w:t>
                  </w:r>
                  <w:r w:rsidRPr="0002082C">
                    <w:rPr>
                      <w:rFonts w:eastAsia="標楷體" w:cs="標楷體" w:hint="eastAsia"/>
                      <w:sz w:val="24"/>
                      <w:szCs w:val="24"/>
                      <w:lang w:val="zh-TW"/>
                    </w:rPr>
                    <w:t>澳底</w:t>
                  </w:r>
                  <w:r w:rsidRPr="0002082C">
                    <w:rPr>
                      <w:rFonts w:eastAsia="標楷體" w:cs="標楷體"/>
                      <w:sz w:val="24"/>
                      <w:szCs w:val="24"/>
                      <w:lang w:val="zh-TW"/>
                    </w:rPr>
                    <w:t>國小</w:t>
                  </w:r>
                </w:p>
              </w:tc>
            </w:tr>
          </w:tbl>
          <w:p w:rsidR="00A437D4" w:rsidRPr="0002082C" w:rsidRDefault="00A437D4" w:rsidP="00323EC4">
            <w:pPr>
              <w:widowControl/>
              <w:snapToGrid w:val="0"/>
              <w:spacing w:line="46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</w:tr>
    </w:tbl>
    <w:p w:rsidR="00F03AAB" w:rsidRPr="00A437D4" w:rsidRDefault="00F03AAB"/>
    <w:sectPr w:rsidR="00F03AAB" w:rsidRPr="00A437D4" w:rsidSect="00A437D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4"/>
    <w:rsid w:val="0022719F"/>
    <w:rsid w:val="00A437D4"/>
    <w:rsid w:val="00F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E723"/>
  <w15:chartTrackingRefBased/>
  <w15:docId w15:val="{A6B21F48-916E-4AE9-BCDF-0F5D639C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3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方嘉珩</dc:creator>
  <cp:keywords/>
  <dc:description/>
  <cp:lastModifiedBy>李孟璇</cp:lastModifiedBy>
  <cp:revision>2</cp:revision>
  <dcterms:created xsi:type="dcterms:W3CDTF">2019-05-22T06:16:00Z</dcterms:created>
  <dcterms:modified xsi:type="dcterms:W3CDTF">2019-05-22T06:16:00Z</dcterms:modified>
</cp:coreProperties>
</file>